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Nagog Orchard Working Group - February 21st, 2024</w:t>
      </w:r>
    </w:p>
    <w:p w:rsidR="00000000" w:rsidDel="00000000" w:rsidP="00000000" w:rsidRDefault="00000000" w:rsidRPr="00000000" w14:paraId="00000002">
      <w:pPr>
        <w:rPr/>
      </w:pPr>
      <w:r w:rsidDel="00000000" w:rsidR="00000000" w:rsidRPr="00000000">
        <w:rPr>
          <w:rtl w:val="0"/>
        </w:rPr>
        <w:t xml:space="preserve">Meeting called to order at 7:00 PM</w:t>
      </w:r>
    </w:p>
    <w:p w:rsidR="00000000" w:rsidDel="00000000" w:rsidP="00000000" w:rsidRDefault="00000000" w:rsidRPr="00000000" w14:paraId="00000003">
      <w:pPr>
        <w:rPr/>
      </w:pPr>
      <w:r w:rsidDel="00000000" w:rsidR="00000000" w:rsidRPr="00000000">
        <w:rPr>
          <w:rtl w:val="0"/>
        </w:rPr>
        <w:t xml:space="preserve">Present: Matthew Nordhaus, Amy Tarlow Lewis, Jen Clancy, Brad Mitchell, Sarah Seaward</w:t>
      </w:r>
    </w:p>
    <w:p w:rsidR="00000000" w:rsidDel="00000000" w:rsidP="00000000" w:rsidRDefault="00000000" w:rsidRPr="00000000" w14:paraId="00000004">
      <w:pPr>
        <w:rPr/>
      </w:pPr>
      <w:r w:rsidDel="00000000" w:rsidR="00000000" w:rsidRPr="00000000">
        <w:rPr>
          <w:rtl w:val="0"/>
        </w:rPr>
        <w:t xml:space="preserve">Attending Remotely: Karen Morrison</w:t>
      </w:r>
    </w:p>
    <w:p w:rsidR="00000000" w:rsidDel="00000000" w:rsidP="00000000" w:rsidRDefault="00000000" w:rsidRPr="00000000" w14:paraId="00000005">
      <w:pPr>
        <w:rPr/>
      </w:pPr>
      <w:r w:rsidDel="00000000" w:rsidR="00000000" w:rsidRPr="00000000">
        <w:rPr>
          <w:rtl w:val="0"/>
        </w:rPr>
        <w:t xml:space="preserve">Will Pickard (arrived at 7:28pm)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Minutes</w:t>
      </w:r>
    </w:p>
    <w:p w:rsidR="00000000" w:rsidDel="00000000" w:rsidP="00000000" w:rsidRDefault="00000000" w:rsidRPr="00000000" w14:paraId="00000008">
      <w:pPr>
        <w:rPr/>
      </w:pPr>
      <w:r w:rsidDel="00000000" w:rsidR="00000000" w:rsidRPr="00000000">
        <w:rPr>
          <w:rtl w:val="0"/>
        </w:rPr>
        <w:t xml:space="preserve">Sarah Seaward made a motion to accept the minutes from the Working Group meeting on January 17th with corrections. S</w:t>
      </w:r>
      <w:r w:rsidDel="00000000" w:rsidR="00000000" w:rsidRPr="00000000">
        <w:rPr>
          <w:rtl w:val="0"/>
        </w:rPr>
        <w:t xml:space="preserve">econded by Jen Clancy.  Motion passed 6-0</w:t>
      </w:r>
    </w:p>
    <w:p w:rsidR="00000000" w:rsidDel="00000000" w:rsidP="00000000" w:rsidRDefault="00000000" w:rsidRPr="00000000" w14:paraId="00000009">
      <w:pPr>
        <w:rPr/>
      </w:pPr>
      <w:r w:rsidDel="00000000" w:rsidR="00000000" w:rsidRPr="00000000">
        <w:rPr>
          <w:rtl w:val="0"/>
        </w:rPr>
        <w:t xml:space="preserve">Jen Clancy made a motion to accept the minutes from the Working Group meeting on January 31st with corrections. Seconded by Amy Tarlow Lewis. Motion passed 6-0</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Walkthrough</w:t>
      </w:r>
    </w:p>
    <w:p w:rsidR="00000000" w:rsidDel="00000000" w:rsidP="00000000" w:rsidRDefault="00000000" w:rsidRPr="00000000" w14:paraId="0000000C">
      <w:pPr>
        <w:rPr/>
      </w:pPr>
      <w:r w:rsidDel="00000000" w:rsidR="00000000" w:rsidRPr="00000000">
        <w:rPr>
          <w:rtl w:val="0"/>
        </w:rPr>
        <w:t xml:space="preserve">The Working </w:t>
      </w:r>
      <w:r w:rsidDel="00000000" w:rsidR="00000000" w:rsidRPr="00000000">
        <w:rPr>
          <w:rtl w:val="0"/>
        </w:rPr>
        <w:t xml:space="preserve">Group discussed the recent tour/walkthrough for potential respondents to the RFI. The weather was good and there was good turnout on both days. Additional interested parties have walked the property over the past week.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Matthew Nordhaus commented that he was pleased with the turnout. Jen Clancy thought that the tours of the buildings were a big success. Sarah Seaward noted that if people want to just walk the property without a member of the Working Group present they should notify the group, as we will inform the Littleton Police Department that there will be vehicles parked at the Orchard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RFP</w:t>
      </w:r>
    </w:p>
    <w:p w:rsidR="00000000" w:rsidDel="00000000" w:rsidP="00000000" w:rsidRDefault="00000000" w:rsidRPr="00000000" w14:paraId="00000011">
      <w:pPr>
        <w:rPr/>
      </w:pPr>
      <w:r w:rsidDel="00000000" w:rsidR="00000000" w:rsidRPr="00000000">
        <w:rPr>
          <w:rtl w:val="0"/>
        </w:rPr>
        <w:t xml:space="preserve">Karen Morrison updated the group on progress on the RFP. There is no specific update on a resource to help the group draft the RFP. The Town Administrator said that he did know of a resource that may be qualified but had not yet been contacted.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Brad Mitchell asked what expertise we are looking for as we attempt to find someone to help draft the RFP. Matthew Nordhaus and Karen Morrison noted that municipal experience, agricultural experience, and RFP experience were all necessary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Karen Morrison stated that the group did not want to follow the same process of the previous RFP, and also felt that it would be valuable to have someone guide the group through the drafting process. In order to be effective they need to understand public contract law, ideally Massachusetts law, and land use law.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Sarah Seaward provided the Chair the resume of Kieth Ross of Landvest, who has experience with RFPs, assessing agricultural land, and Land Trusts. She thought he would be a good candidate. She also suggested that we review the existing RFP and take the good parts for our new version. Brad Mitchell offered to talk to him and walk him through what the working group wants. Sarah felt that Chris Ross may have time to help but that there must be a concise and focused request for assistance.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Brad Mitchell also stated that Frank DeLuna, who is a retired ag attorney, was a possibility. Karen Morrison stated that Town Counsel would have to be involved. Matthew Nordhaus suggested that we use Town Counsel as an editor, not a drafter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FAQ Questions from potential RFI respondents.</w:t>
      </w:r>
    </w:p>
    <w:p w:rsidR="00000000" w:rsidDel="00000000" w:rsidP="00000000" w:rsidRDefault="00000000" w:rsidRPr="00000000" w14:paraId="0000001C">
      <w:pPr>
        <w:rPr/>
      </w:pPr>
      <w:r w:rsidDel="00000000" w:rsidR="00000000" w:rsidRPr="00000000">
        <w:rPr>
          <w:rtl w:val="0"/>
        </w:rPr>
        <w:t xml:space="preserve">Amy Tarlow Lewis has compiled a list of some of the recent questions about the property.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What is the availability of Irrigation?</w:t>
      </w:r>
    </w:p>
    <w:p w:rsidR="00000000" w:rsidDel="00000000" w:rsidP="00000000" w:rsidRDefault="00000000" w:rsidRPr="00000000" w14:paraId="0000001F">
      <w:pPr>
        <w:rPr/>
      </w:pPr>
      <w:r w:rsidDel="00000000" w:rsidR="00000000" w:rsidRPr="00000000">
        <w:rPr>
          <w:rtl w:val="0"/>
        </w:rPr>
        <w:t xml:space="preserve">Sarah Seaward is working with the Littleton Water Department to test the wells. There is a well near the House with a pump which does not appear to work. There is also an older, unregistered well near the lower barn, which does not have a pump, perhaps 250 ft deep. The Littleton Water Department is going to test both wells with a temporary pump, if necessary, to see if either or both of them are still viable. Pump is currently not working. The working group does not know whether there is enough well water for irrigation. There should be more information next week.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What is the tax rate on the property? What is the tax liability on the property?</w:t>
      </w:r>
    </w:p>
    <w:p w:rsidR="00000000" w:rsidDel="00000000" w:rsidP="00000000" w:rsidRDefault="00000000" w:rsidRPr="00000000" w14:paraId="00000022">
      <w:pPr>
        <w:rPr/>
      </w:pPr>
      <w:r w:rsidDel="00000000" w:rsidR="00000000" w:rsidRPr="00000000">
        <w:rPr>
          <w:rtl w:val="0"/>
        </w:rPr>
        <w:t xml:space="preserve">There is no firm answer to either question right now. Kathy Miller, the town assessor, is going to walk through the property in the next week, and there should be a value in a couple weeks. In addition, as an estimate, respondents can look up Chapter 61a or b estimated land valuations from the DAR. The working group committed to having a firm tax amount prior to issuing the RFP.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Brad Mitchell wanted to reiterate that the APR land must be part of the proposal, and that the house and barn are optional and available for purchase or lease. All the other land only for lease.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Amy Tarlow Lewis asked if the working group could help RFI respondents contact each other, if several of them had visions for the property that were complementary. The working group decided that if respondents wanted to share their name, a document can be maintained with contact information.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 member of the public asked whether the town would commit to repairing the house, or remediating asbestos or lead. </w:t>
      </w:r>
    </w:p>
    <w:p w:rsidR="00000000" w:rsidDel="00000000" w:rsidP="00000000" w:rsidRDefault="00000000" w:rsidRPr="00000000" w14:paraId="00000029">
      <w:pPr>
        <w:rPr/>
      </w:pPr>
      <w:r w:rsidDel="00000000" w:rsidR="00000000" w:rsidRPr="00000000">
        <w:rPr>
          <w:rtl w:val="0"/>
        </w:rPr>
        <w:t xml:space="preserve">Matthew Nordhaus stated that the town had not committed to any work on the house, and that the working group understood the scope of the work and would take it into account when negotiating a lease or sale.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 member of the public asked how the parcel with the house and barn were zoned. </w:t>
      </w:r>
    </w:p>
    <w:p w:rsidR="00000000" w:rsidDel="00000000" w:rsidP="00000000" w:rsidRDefault="00000000" w:rsidRPr="00000000" w14:paraId="0000002C">
      <w:pPr>
        <w:rPr/>
      </w:pPr>
      <w:r w:rsidDel="00000000" w:rsidR="00000000" w:rsidRPr="00000000">
        <w:rPr>
          <w:rtl w:val="0"/>
        </w:rPr>
        <w:t xml:space="preserve">The working group did not have absolute information, but the assumption is that the house is zoned residential, single family. There is a recent septic system that is approved for 7 bedrooms. There are exemptions for agricultural use that allow some retail use in residential zones. MGL Chapter 40a Section 3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What’s the state of the foundation for the Farmhouse? </w:t>
      </w:r>
    </w:p>
    <w:p w:rsidR="00000000" w:rsidDel="00000000" w:rsidP="00000000" w:rsidRDefault="00000000" w:rsidRPr="00000000" w14:paraId="0000002F">
      <w:pPr>
        <w:rPr/>
      </w:pPr>
      <w:r w:rsidDel="00000000" w:rsidR="00000000" w:rsidRPr="00000000">
        <w:rPr>
          <w:rtl w:val="0"/>
        </w:rPr>
        <w:t xml:space="preserve">It is a fieldstone foundation that has been recently repointed and appears to be structurally sound.</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 member of the public offered to share her soil analysis results with anyone who was interested.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Matthew Nordhaus reported that no progress had been made on arranging an asbestos test for the cold storage under the upper barn, and that he would follow up prior to the next meeting.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Historical Restrictions</w:t>
      </w:r>
    </w:p>
    <w:p w:rsidR="00000000" w:rsidDel="00000000" w:rsidP="00000000" w:rsidRDefault="00000000" w:rsidRPr="00000000" w14:paraId="00000036">
      <w:pPr>
        <w:rPr/>
      </w:pPr>
      <w:r w:rsidDel="00000000" w:rsidR="00000000" w:rsidRPr="00000000">
        <w:rPr>
          <w:rtl w:val="0"/>
        </w:rPr>
        <w:t xml:space="preserve">Sarah Seaward discussed progress on adding a historical restriction to the House and/or Barn. Part of this work is determining the age of the structures. Littleton resident Calvin Yapp has evaluated many New England brands, and looked at the Upper barn at the Orchard. Based on the beam size and material (American Chestnut) he estimated that the main frame of the barn was constructed circa 1730-1760. The house burned down and was rebuilt around 1900.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The group does not yet know whether we can add the house and barn to the APR. As a result the historical restriction should be investigated but not pursued.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APR Update</w:t>
      </w:r>
    </w:p>
    <w:p w:rsidR="00000000" w:rsidDel="00000000" w:rsidP="00000000" w:rsidRDefault="00000000" w:rsidRPr="00000000" w14:paraId="0000003B">
      <w:pPr>
        <w:rPr/>
      </w:pPr>
      <w:r w:rsidDel="00000000" w:rsidR="00000000" w:rsidRPr="00000000">
        <w:rPr>
          <w:rtl w:val="0"/>
        </w:rPr>
        <w:t xml:space="preserve">Brad Mitchell updated the group on the conversation about adding the house and barn to the APR. David Battale for DAR emailed the working group with suggestions that did not include adding the structures to the APR. David confirmed that since federal money was used to purchase the land any change in the APR would have to get approval from the National Resources Conservation Service. Brad Mitchell discussed the reasons for and against adding the house and barn. Adding them makes the property more attractive for a farmer who wants to live on the site and house employees. On the other hand DAR has in the past had difficulty finding agricultural uses for houses and other structures, but is required to maintain them if they are within an APR.</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Brad Mitchell asked for a vote to formally request that DAR approve the inclusion of the house and barn into the APR. Matthew Nordhaus was in favor of inclusion because it simplified the process of leasing or selling the property. Sarah Seaward was in favor because the Morrissons asked that the orchard be maintained that way</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Matthew Nordhaus made a motion to approve Brad Mitchell’s request to DAR. Amy Tarlow Lewis seconded. The motion passed 7-0.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RFI Review Process</w:t>
      </w:r>
    </w:p>
    <w:p w:rsidR="00000000" w:rsidDel="00000000" w:rsidP="00000000" w:rsidRDefault="00000000" w:rsidRPr="00000000" w14:paraId="00000042">
      <w:pPr>
        <w:rPr/>
      </w:pPr>
      <w:r w:rsidDel="00000000" w:rsidR="00000000" w:rsidRPr="00000000">
        <w:rPr>
          <w:rtl w:val="0"/>
        </w:rPr>
        <w:t xml:space="preserve">The group discussed the review of the RFIs that are submitted. Amy Tarlow Lewis asked how the group is going to ‘accept’ them and how to guide evaluation. Brad MItchell felt that an objective rubric was an important part of the evaluation, and that determining which RFIs matched our objectives would drive the drafting of the RFP. Brad suggested a simple point system based on criteria in the RFI. Karen Morrison felt that the RFIs were more like market research and none should be excluded. Matthew Nordhaus stated that we should not exclude anyone, and we should craft our language to make sure that we do not imply that some RFIs are ‘accepted’ and others are not. Matthew stated that he felt we should investigate the submissions that are more appropriate. Brad reiterated that the way to evaluate whether they were appropriate should include some objective standards.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The group agreed on a point system based on the criteria published in the RFI:</w:t>
      </w:r>
    </w:p>
    <w:p w:rsidR="00000000" w:rsidDel="00000000" w:rsidP="00000000" w:rsidRDefault="00000000" w:rsidRPr="00000000" w14:paraId="00000045">
      <w:pPr>
        <w:numPr>
          <w:ilvl w:val="0"/>
          <w:numId w:val="1"/>
        </w:numPr>
        <w:ind w:left="720" w:hanging="360"/>
        <w:rPr>
          <w:u w:val="none"/>
        </w:rPr>
      </w:pPr>
      <w:r w:rsidDel="00000000" w:rsidR="00000000" w:rsidRPr="00000000">
        <w:rPr>
          <w:rtl w:val="0"/>
        </w:rPr>
        <w:t xml:space="preserve">Vision  (1-5 points)</w:t>
      </w:r>
    </w:p>
    <w:p w:rsidR="00000000" w:rsidDel="00000000" w:rsidP="00000000" w:rsidRDefault="00000000" w:rsidRPr="00000000" w14:paraId="00000046">
      <w:pPr>
        <w:numPr>
          <w:ilvl w:val="0"/>
          <w:numId w:val="1"/>
        </w:numPr>
        <w:ind w:left="720" w:hanging="360"/>
        <w:rPr>
          <w:u w:val="none"/>
        </w:rPr>
      </w:pPr>
      <w:r w:rsidDel="00000000" w:rsidR="00000000" w:rsidRPr="00000000">
        <w:rPr>
          <w:rtl w:val="0"/>
        </w:rPr>
        <w:t xml:space="preserve">Comply with the use restrictions (1-5 points)</w:t>
      </w:r>
    </w:p>
    <w:p w:rsidR="00000000" w:rsidDel="00000000" w:rsidP="00000000" w:rsidRDefault="00000000" w:rsidRPr="00000000" w14:paraId="00000047">
      <w:pPr>
        <w:numPr>
          <w:ilvl w:val="0"/>
          <w:numId w:val="1"/>
        </w:numPr>
        <w:ind w:left="720" w:hanging="360"/>
        <w:rPr>
          <w:u w:val="none"/>
        </w:rPr>
      </w:pPr>
      <w:r w:rsidDel="00000000" w:rsidR="00000000" w:rsidRPr="00000000">
        <w:rPr>
          <w:rtl w:val="0"/>
        </w:rPr>
        <w:t xml:space="preserve">Purchase or Lease (Yes/No)</w:t>
      </w:r>
    </w:p>
    <w:p w:rsidR="00000000" w:rsidDel="00000000" w:rsidP="00000000" w:rsidRDefault="00000000" w:rsidRPr="00000000" w14:paraId="00000048">
      <w:pPr>
        <w:numPr>
          <w:ilvl w:val="0"/>
          <w:numId w:val="1"/>
        </w:numPr>
        <w:ind w:left="720" w:hanging="360"/>
        <w:rPr>
          <w:u w:val="none"/>
        </w:rPr>
      </w:pPr>
      <w:r w:rsidDel="00000000" w:rsidR="00000000" w:rsidRPr="00000000">
        <w:rPr>
          <w:rtl w:val="0"/>
        </w:rPr>
        <w:t xml:space="preserve">Skills, Qualifications and Experience (1-10 points)</w:t>
      </w:r>
    </w:p>
    <w:p w:rsidR="00000000" w:rsidDel="00000000" w:rsidP="00000000" w:rsidRDefault="00000000" w:rsidRPr="00000000" w14:paraId="00000049">
      <w:pPr>
        <w:numPr>
          <w:ilvl w:val="0"/>
          <w:numId w:val="1"/>
        </w:numPr>
        <w:ind w:left="720" w:hanging="360"/>
        <w:rPr>
          <w:u w:val="none"/>
        </w:rPr>
      </w:pPr>
      <w:r w:rsidDel="00000000" w:rsidR="00000000" w:rsidRPr="00000000">
        <w:rPr>
          <w:rtl w:val="0"/>
        </w:rPr>
        <w:t xml:space="preserve">Funding (1-10 points)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Sarah Seaward moved to support those review criteria. Matthew Nordhaus seconded. The motion passed 7-0</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Amy Tarlow Lewis is saving the submissions to Google Drive and the group agreed to complete an initial review prior to the meeting on March 6th.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Sarah Seaward asked about the timeline for getting the RFP out. Matthew Nordhaus said that with no delays the group would review the RFI responses through March, draft the RFP through April, and release the RFP May 1st for 30 days. The working group agreed that it was important to bring an article to Town Meeting in the fall.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Amy Tarlow Lewis asked whether we could bring a warrant article to the Spring Town meeting, in order to prepare voters for a vote in the fall. Matthew Nordhaus stated that we could not bring an article to Town Meeting without a complete plan for lease or sale, and that a non-binding article would not be effective. The working group agreed to pursue a plan of making a short presentation at the Spring town meeting to educate voters about the likelihood of a vote in the fall. As a fallback plan materials that describe the working group and its process can be distributed at Town Meeting. Matthew Nordhaus will ask the Select Board whether we can present at Town Meeting without an article and whether we can include information in the Town Report.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working group agreed to meet next on March 6th. The group also agreed to number the submissions so that they can be discussed in public meetings without identifying the submitters.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At 8:29pm Matthew Nordhaus made a motion to adjourn. Karren Morrison seconded. Motion passed 7-0</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